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 MOTIE - Arbeiderspartij tarieven milieustraat (nieuwe versie)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99,87 KB</text:p>
          </table:table-cell>
          <table:table-cell table:style-name="Table3.A2" office:value-type="string">
            <text:p text:style-name="P22">
              <text:a xlink:type="simple" xlink:href="https://raad.goirle.nl/documenten/Moties/18-MOTIE-Arbeiderspartij-tarieven-milieustraat-nieuw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 MOTIE - LRG Afvalstoffenheffing NIET IN STEMMING NA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148,70 KB</text:p>
          </table:table-cell>
          <table:table-cell table:style-name="Table3.A2" office:value-type="string">
            <text:p text:style-name="P22">
              <text:a xlink:type="simple" xlink:href="https://raad.goirle.nl/documenten/Moties/18-MOTIE-LRG-Afvalstoffenheff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 MOTIE - PAG Verordening rioolheffing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goirle.nl/documenten/Moties/10-MOTIE-PAG-Verordening-rioolheff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MOTIE - SP Reserve inclusie beleid financiering door 1 procent regeling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99,13 KB</text:p>
          </table:table-cell>
          <table:table-cell table:style-name="Table3.A2" office:value-type="string">
            <text:p text:style-name="P22">
              <text:a xlink:type="simple" xlink:href="https://raad.goirle.nl/documenten/Moties/07-MOTIE-SP-Reserve-inclusie-beleid-financiering-door-1-procent-reg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01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