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SP Natuur inclusief bouwen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215,49 KB</text:p>
          </table:table-cell>
          <table:table-cell table:style-name="Table3.A2" office:value-type="string">
            <text:p text:style-name="P22">
              <text:a xlink:type="simple" xlink:href="https://raad.goirle.nl/documenten/Moties/MOTIE-SP-Natuur-inclusief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PAG SP CDA LRG Ontwikkeling integrale visie op mobiliteit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454,19 KB</text:p>
          </table:table-cell>
          <table:table-cell table:style-name="Table3.A2" office:value-type="string">
            <text:p text:style-name="P22">
              <text:a xlink:type="simple" xlink:href="https://raad.goirle.nl/documenten/Moties/MOTIE-PAG-SP-CDA-LRG-Ontwikkeling-integrale-visie-op-mobi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REGIO HART VAN BRABANT Lobby financiële ondersteuning Rijk “Gemeenten hebben meer structureel geld nodig”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272,75 KB</text:p>
          </table:table-cell>
          <table:table-cell table:style-name="Table3.A2" office:value-type="string">
            <text:p text:style-name="P22">
              <text:a xlink:type="simple" xlink:href="https://raad.goirle.nl/Documenten/Moties/MOTIE-Regio-Hart-v-Brabant-lobby-financiele-ondersteuning-Rijk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445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