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Vervolgstappen voor het herstel van biodiversiteit versie 15-2-22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102,22 KB</text:p>
          </table:table-cell>
          <table:table-cell table:style-name="Table3.A2" office:value-type="string">
            <text:p text:style-name="P22">
              <text:a xlink:type="simple" xlink:href="https://raad.goirle.nl/documenten/Moties/Motie-Vervolgstappen-voor-het-herstel-van-biodiversiteit-versie-15-2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AGR Vervolgstappen voor het herstel van biodiversiteit versie 8-2-22 LAATSTE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101,83 KB</text:p>
          </table:table-cell>
          <table:table-cell table:style-name="Table3.A2" office:value-type="string">
            <text:p text:style-name="P22">
              <text:a xlink:type="simple" xlink:href="https://raad.goirle.nl/documenten/Moties/Motie-PvdA-AGR-Vervolgstappen-voor-het-herstel-van-biodiversiteit-versie-8-2-22-LAATST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PvdA Vervolgstappen voor het herstel van biodiversiteit AANGEPAST MET AGR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101,83 KB</text:p>
          </table:table-cell>
          <table:table-cell table:style-name="Table3.A2" office:value-type="string">
            <text:p text:style-name="P22">
              <text:a xlink:type="simple" xlink:href="https://raad.goirle.nl/documenten/Moties/Motie-PvdA-Vervolgstappen-voor-het-herstel-van-biodivers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43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