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20-09-2018 Verhoging gemeentelijke bijdrage gemeentepolis voor minima 2019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3-oktober/22:05/Raadsinformatiebrief-Verhoging-gemeentelijke-bijdrage-gemeentepolis-voor-minima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19-09-2018 Principeverzoek tijdelijke huisvesting arbeidsmigranten Veertels 5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9-oktober/22:05/Raadsinformatie-huisvesting-arbeidsmigranten-Veert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25-09-2018 Leijoever Riel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9-oktober/22:05/Raadsinformatiebrief-Leijoever-Ri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25-09-2018 Stints in Goirle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9-oktober/22:05/Raadsinformatiebrief-stint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18-09-2018 VTH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9-oktober/22:05/Raadsinformatie-VTH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13-09-2018 Zienswijze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9-oktober/22:05/Raadsinformatiebrief-zienswijze-proeftu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30-08-2018 Nieuw reglement van orde college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5-september/22:05/Raadsinformatie-nieuw-reglement-van-orde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07-09-2018 Risico cirkel buisleiding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5-september/22:05/Raadsinformatiebrief-buislei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2" meta:character-count="877" meta:non-whitespace-character-count="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