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art. 32 RvO - Pro Actief Goirle inzake MillHill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-handen-stellen-van-B-W-ter-afhandeling/A2-Schriftelijke-vragen-art-32-RvO-Pro-Actief-Goirle-inzake-MillHill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art. 32 RvO - Pro Actief Goirle inzake verkoop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-handen-stellen-van-B-W-ter-afhandeling/A2-Schriftelijke-vragen-art-32-RvO-Pro-Actief-Goirle-inzake-verkoop-schoolgebouw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7" meta:character-count="353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